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5B" w:rsidRDefault="005D6A5B">
      <w:pPr>
        <w:rPr>
          <w:rFonts w:hint="eastAsia"/>
        </w:rPr>
        <w:sectPr w:rsidR="005D6A5B"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  <w:bookmarkStart w:id="0" w:name="content1"/>
      <w:bookmarkStart w:id="1" w:name="_GoBack"/>
      <w:bookmarkEnd w:id="0"/>
      <w:bookmarkEnd w:id="1"/>
    </w:p>
    <w:p w:rsidR="005D6A5B" w:rsidRDefault="00C92920" w:rsidP="000D03D1">
      <w:pPr>
        <w:pStyle w:val="Default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Pokyny k přijímacímu řízení na s</w:t>
      </w:r>
      <w:r w:rsidR="00127F38">
        <w:rPr>
          <w:rFonts w:ascii="Times New Roman" w:hAnsi="Times New Roman"/>
          <w:b/>
          <w:bCs/>
          <w:sz w:val="26"/>
          <w:szCs w:val="26"/>
        </w:rPr>
        <w:t>třední školy pro školní rok 202</w:t>
      </w:r>
      <w:r w:rsidR="005A744A">
        <w:rPr>
          <w:rFonts w:ascii="Times New Roman" w:hAnsi="Times New Roman"/>
          <w:b/>
          <w:bCs/>
          <w:sz w:val="26"/>
          <w:szCs w:val="26"/>
        </w:rPr>
        <w:t>1</w:t>
      </w:r>
      <w:r w:rsidR="00127F38">
        <w:rPr>
          <w:rFonts w:ascii="Times New Roman" w:hAnsi="Times New Roman"/>
          <w:b/>
          <w:bCs/>
          <w:sz w:val="26"/>
          <w:szCs w:val="26"/>
        </w:rPr>
        <w:t>/202</w:t>
      </w:r>
      <w:r w:rsidR="005A744A">
        <w:rPr>
          <w:rFonts w:ascii="Times New Roman" w:hAnsi="Times New Roman"/>
          <w:b/>
          <w:bCs/>
          <w:sz w:val="26"/>
          <w:szCs w:val="26"/>
        </w:rPr>
        <w:t>2</w:t>
      </w:r>
    </w:p>
    <w:p w:rsidR="005D6A5B" w:rsidRDefault="005D6A5B" w:rsidP="000D03D1">
      <w:pPr>
        <w:pStyle w:val="Default"/>
        <w:spacing w:line="276" w:lineRule="auto"/>
        <w:rPr>
          <w:rFonts w:ascii="Times New Roman" w:hAnsi="Times New Roman"/>
        </w:rPr>
      </w:pPr>
    </w:p>
    <w:p w:rsidR="005D6A5B" w:rsidRPr="000D03D1" w:rsidRDefault="00C92920" w:rsidP="000D03D1">
      <w:pPr>
        <w:pStyle w:val="Default"/>
        <w:spacing w:line="276" w:lineRule="auto"/>
      </w:pPr>
      <w:r>
        <w:rPr>
          <w:rFonts w:ascii="Times New Roman" w:hAnsi="Times New Roman"/>
        </w:rPr>
        <w:t xml:space="preserve">Termíny pro přijímací řízení na střední školy a </w:t>
      </w:r>
      <w:r w:rsidR="00127F38">
        <w:rPr>
          <w:rFonts w:ascii="Times New Roman" w:hAnsi="Times New Roman"/>
        </w:rPr>
        <w:t>konzervatoře pro školní rok 202</w:t>
      </w:r>
      <w:r w:rsidR="005A744A">
        <w:rPr>
          <w:rFonts w:ascii="Times New Roman" w:hAnsi="Times New Roman"/>
        </w:rPr>
        <w:t>1</w:t>
      </w:r>
      <w:r w:rsidR="00127F38">
        <w:rPr>
          <w:rFonts w:ascii="Times New Roman" w:hAnsi="Times New Roman"/>
        </w:rPr>
        <w:t>/202</w:t>
      </w:r>
      <w:r w:rsidR="005A744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stanoví školský zákon 561/2004 a vyhláška č. 671/2004 Sb. ve znění pozdějších předpisů. </w:t>
      </w:r>
      <w:r>
        <w:rPr>
          <w:rFonts w:ascii="Times New Roman" w:hAnsi="Times New Roman"/>
        </w:rPr>
        <w:br/>
        <w:t xml:space="preserve">Žák může podat </w:t>
      </w:r>
      <w:r>
        <w:rPr>
          <w:rFonts w:ascii="Times New Roman" w:hAnsi="Times New Roman"/>
          <w:b/>
        </w:rPr>
        <w:t xml:space="preserve">až 2 přihlášky na střední školy </w:t>
      </w:r>
      <w:r>
        <w:rPr>
          <w:rFonts w:ascii="Times New Roman" w:hAnsi="Times New Roman"/>
        </w:rPr>
        <w:t xml:space="preserve">v prvním kole přijímacího řízení. </w:t>
      </w:r>
      <w:r>
        <w:rPr>
          <w:rFonts w:ascii="Times New Roman" w:hAnsi="Times New Roman"/>
        </w:rPr>
        <w:br/>
        <w:t xml:space="preserve">Žák podává přihlášku přímo řediteli příslušné střední školy </w:t>
      </w:r>
      <w:r w:rsidR="00127F38">
        <w:rPr>
          <w:rFonts w:ascii="Times New Roman" w:hAnsi="Times New Roman"/>
          <w:b/>
        </w:rPr>
        <w:t>do 1. března 202</w:t>
      </w:r>
      <w:r w:rsidR="005A744A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, v případě oborů </w:t>
      </w:r>
      <w:r w:rsidR="0064627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 talentovou zkouškou </w:t>
      </w:r>
      <w:r w:rsidR="00127F38">
        <w:rPr>
          <w:rFonts w:ascii="Times New Roman" w:hAnsi="Times New Roman"/>
          <w:b/>
        </w:rPr>
        <w:t>do 30. listopadu 20</w:t>
      </w:r>
      <w:r w:rsidR="005A744A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Základní škola vyplňuje a potvrzuje žákům přihlášky. Žák odevzdá výchovné poradkyni </w:t>
      </w:r>
      <w:r>
        <w:rPr>
          <w:rFonts w:ascii="Times New Roman" w:hAnsi="Times New Roman"/>
        </w:rPr>
        <w:br/>
        <w:t xml:space="preserve">Mgr. M. Hrabovské do </w:t>
      </w:r>
      <w:r w:rsidR="00127F38">
        <w:rPr>
          <w:rFonts w:ascii="Times New Roman" w:hAnsi="Times New Roman"/>
        </w:rPr>
        <w:t>1</w:t>
      </w:r>
      <w:r w:rsidR="005A744A">
        <w:rPr>
          <w:rFonts w:ascii="Times New Roman" w:hAnsi="Times New Roman"/>
        </w:rPr>
        <w:t>1</w:t>
      </w:r>
      <w:r w:rsidR="000D03D1">
        <w:rPr>
          <w:rFonts w:ascii="Times New Roman" w:hAnsi="Times New Roman"/>
        </w:rPr>
        <w:t>. 2</w:t>
      </w:r>
      <w:r w:rsidR="003F5B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27F38">
        <w:rPr>
          <w:rFonts w:ascii="Times New Roman" w:hAnsi="Times New Roman"/>
        </w:rPr>
        <w:t>202</w:t>
      </w:r>
      <w:r w:rsidR="005A744A">
        <w:rPr>
          <w:rFonts w:ascii="Times New Roman" w:hAnsi="Times New Roman"/>
        </w:rPr>
        <w:t>2</w:t>
      </w:r>
      <w:r w:rsidR="00646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název a adresu škol, kde se chce ucházet o přijetí.</w:t>
      </w:r>
      <w:r>
        <w:rPr>
          <w:rFonts w:ascii="Times New Roman" w:hAnsi="Times New Roman"/>
        </w:rPr>
        <w:br/>
        <w:t xml:space="preserve">Škola vytiskne přihlášku, potvrdí ji a předá žáku. Vzhledem k tomu, že osobní údaje na přihlášce jsou tisknuty ze školního evidenčního programu, je třeba před jejím odevzdáním zkontrolovat </w:t>
      </w:r>
      <w:r w:rsidR="00646277">
        <w:rPr>
          <w:rFonts w:ascii="Times New Roman" w:hAnsi="Times New Roman"/>
        </w:rPr>
        <w:t xml:space="preserve">údaje, které jsou v něm zapsány. </w:t>
      </w:r>
      <w:r w:rsidR="00646277" w:rsidRPr="00646277">
        <w:rPr>
          <w:rFonts w:ascii="Times New Roman" w:hAnsi="Times New Roman" w:cs="Times New Roman"/>
        </w:rPr>
        <w:t xml:space="preserve">Některé školy dále vyžadují lékařské potvrzení. Dále doporučujeme k přihlášce přiložit případná osvědčení o školních úspěších (umístění ve školních olympiádách apod.) </w:t>
      </w:r>
      <w:r>
        <w:rPr>
          <w:rFonts w:ascii="Times New Roman" w:hAnsi="Times New Roman"/>
        </w:rPr>
        <w:t>Žák odevzdá přihlášku na zvolených školách ve výše uvedeném termínu.</w:t>
      </w:r>
      <w:r>
        <w:rPr>
          <w:rFonts w:ascii="Times New Roman" w:hAnsi="Times New Roman"/>
        </w:rPr>
        <w:br/>
        <w:t xml:space="preserve">K potvrzení zájmu uchazeče vzdělávání na SŠ je zaveden </w:t>
      </w:r>
      <w:r>
        <w:rPr>
          <w:rFonts w:ascii="Times New Roman" w:hAnsi="Times New Roman"/>
          <w:b/>
        </w:rPr>
        <w:t xml:space="preserve">zápisový lístek, </w:t>
      </w:r>
      <w:r>
        <w:rPr>
          <w:rFonts w:ascii="Times New Roman" w:hAnsi="Times New Roman"/>
        </w:rPr>
        <w:t xml:space="preserve">který obdrží zákonný zástupce oproti podpisu. </w:t>
      </w:r>
    </w:p>
    <w:p w:rsidR="005D6A5B" w:rsidRDefault="00C92920" w:rsidP="000D03D1">
      <w:pPr>
        <w:pStyle w:val="Default"/>
        <w:spacing w:after="25" w:line="276" w:lineRule="auto"/>
      </w:pPr>
      <w:r>
        <w:rPr>
          <w:rFonts w:ascii="Times New Roman" w:hAnsi="Times New Roman"/>
          <w:b/>
          <w:bCs/>
        </w:rPr>
        <w:t>Termíny konání</w:t>
      </w:r>
      <w:r w:rsidR="003B281A">
        <w:rPr>
          <w:rFonts w:ascii="Times New Roman" w:hAnsi="Times New Roman"/>
          <w:b/>
          <w:bCs/>
        </w:rPr>
        <w:t xml:space="preserve"> zkoušek</w:t>
      </w:r>
      <w:r>
        <w:rPr>
          <w:rFonts w:ascii="Times New Roman" w:hAnsi="Times New Roman"/>
          <w:b/>
          <w:bCs/>
        </w:rPr>
        <w:t>:</w:t>
      </w:r>
    </w:p>
    <w:p w:rsidR="005D6A5B" w:rsidRDefault="00C92920" w:rsidP="000D03D1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>Jednotná přijímací zkouška se koná formou písemného testu ze vzdělávacího oboru Český jazyk a literatura  a písemného testu ze vzdělávacího oboru Matematika a její aplikace ve dvou termínech a je stanovena na tyto dny:</w:t>
      </w:r>
    </w:p>
    <w:p w:rsidR="00C826D8" w:rsidRDefault="00127F38" w:rsidP="00EA695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termín:</w:t>
      </w:r>
      <w:r>
        <w:rPr>
          <w:rFonts w:ascii="Times New Roman" w:hAnsi="Times New Roman"/>
          <w:b/>
          <w:bCs/>
        </w:rPr>
        <w:br/>
        <w:t>1</w:t>
      </w:r>
      <w:r w:rsidR="00C826D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 dubna 202</w:t>
      </w:r>
      <w:r w:rsidR="00C826D8">
        <w:rPr>
          <w:rFonts w:ascii="Times New Roman" w:hAnsi="Times New Roman"/>
          <w:b/>
          <w:bCs/>
        </w:rPr>
        <w:t>2</w:t>
      </w:r>
      <w:r w:rsidR="00C92920">
        <w:rPr>
          <w:rFonts w:ascii="Times New Roman" w:hAnsi="Times New Roman"/>
          <w:b/>
          <w:bCs/>
        </w:rPr>
        <w:t xml:space="preserve"> </w:t>
      </w:r>
      <w:r w:rsidR="00C92920">
        <w:rPr>
          <w:rFonts w:ascii="Times New Roman" w:hAnsi="Times New Roman"/>
        </w:rPr>
        <w:t>– pro čtyřleté obory vzdělání</w:t>
      </w:r>
    </w:p>
    <w:p w:rsidR="00C826D8" w:rsidRDefault="00127F38" w:rsidP="00EA695B">
      <w:pPr>
        <w:spacing w:line="276" w:lineRule="auto"/>
        <w:rPr>
          <w:rFonts w:ascii="Times New Roman" w:hAnsi="Times New Roman"/>
        </w:rPr>
      </w:pPr>
      <w:r w:rsidRPr="00127F38">
        <w:rPr>
          <w:rFonts w:ascii="Times New Roman" w:hAnsi="Times New Roman"/>
          <w:b/>
        </w:rPr>
        <w:t>2. termín:</w:t>
      </w:r>
      <w:r w:rsidR="00C92920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1</w:t>
      </w:r>
      <w:r w:rsidR="00C826D8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 dubna 202</w:t>
      </w:r>
      <w:r w:rsidR="00C826D8">
        <w:rPr>
          <w:rFonts w:ascii="Times New Roman" w:hAnsi="Times New Roman"/>
          <w:b/>
          <w:bCs/>
        </w:rPr>
        <w:t>2</w:t>
      </w:r>
      <w:r w:rsidR="00C92920">
        <w:rPr>
          <w:rFonts w:ascii="Times New Roman" w:hAnsi="Times New Roman"/>
        </w:rPr>
        <w:t xml:space="preserve"> – pro čtyřleté obory vzdělání</w:t>
      </w:r>
    </w:p>
    <w:p w:rsidR="005D6A5B" w:rsidRDefault="00C92920" w:rsidP="00EA695B">
      <w:pPr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Jednotná přijímací zkouška v </w:t>
      </w:r>
      <w:r>
        <w:rPr>
          <w:rFonts w:ascii="Times New Roman" w:hAnsi="Times New Roman"/>
          <w:b/>
          <w:bCs/>
        </w:rPr>
        <w:t>náhradním termínu</w:t>
      </w:r>
      <w:r>
        <w:rPr>
          <w:rFonts w:ascii="Times New Roman" w:hAnsi="Times New Roman"/>
        </w:rPr>
        <w:t xml:space="preserve"> je stanovena pro všechny obory vzdělání na  tyto dny:</w:t>
      </w:r>
      <w:r>
        <w:rPr>
          <w:rFonts w:ascii="Times New Roman" w:hAnsi="Times New Roman"/>
        </w:rPr>
        <w:br/>
        <w:t xml:space="preserve">1. termín </w:t>
      </w:r>
      <w:r w:rsidR="00127F38">
        <w:rPr>
          <w:rFonts w:ascii="Times New Roman" w:hAnsi="Times New Roman"/>
          <w:b/>
          <w:bCs/>
        </w:rPr>
        <w:t>1</w:t>
      </w:r>
      <w:r w:rsidR="00C826D8">
        <w:rPr>
          <w:rFonts w:ascii="Times New Roman" w:hAnsi="Times New Roman"/>
          <w:b/>
          <w:bCs/>
        </w:rPr>
        <w:t>0</w:t>
      </w:r>
      <w:r w:rsidR="00127F38">
        <w:rPr>
          <w:rFonts w:ascii="Times New Roman" w:hAnsi="Times New Roman"/>
          <w:b/>
          <w:bCs/>
        </w:rPr>
        <w:t>. května 202</w:t>
      </w:r>
      <w:r w:rsidR="00C826D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br/>
        <w:t>2.</w:t>
      </w:r>
      <w:r w:rsidR="00646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termín </w:t>
      </w:r>
      <w:r w:rsidR="00127F38">
        <w:rPr>
          <w:rFonts w:ascii="Times New Roman" w:hAnsi="Times New Roman"/>
          <w:b/>
          <w:bCs/>
        </w:rPr>
        <w:t>1</w:t>
      </w:r>
      <w:r w:rsidR="00C826D8">
        <w:rPr>
          <w:rFonts w:ascii="Times New Roman" w:hAnsi="Times New Roman"/>
          <w:b/>
          <w:bCs/>
        </w:rPr>
        <w:t>1</w:t>
      </w:r>
      <w:r w:rsidR="00127F38">
        <w:rPr>
          <w:rFonts w:ascii="Times New Roman" w:hAnsi="Times New Roman"/>
          <w:b/>
          <w:bCs/>
        </w:rPr>
        <w:t>. května 202</w:t>
      </w:r>
      <w:r w:rsidR="00C826D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Každý uchazeč může písemný test ze vzdělávacího oboru Český jazyk a literatura a písemný test </w:t>
      </w:r>
      <w:r w:rsidR="00646277"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ze vzdělávacího oboru Matematika a její aplikace přijímacího řízení konat dvakrát, v prvním stanoveném termínu ve škole uvedené na přihlášce v prvním pořadí, ve druhém stanoveném termínu ve škole uvedené na přihlášce ve druhém pořadí.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Hodnocení jednotné zkoušky se na celkovém hodnocení splnění kritérií přijímacího řízení uchazečem podílí nejméně 60 %; v případě přijímacího řízení do oboru vzdělání Gymnázium se sportovní přípravou nejméně 40 %. Uchazeči se do celkového hodnocení započítává lepší výsledek písemného testu ze vzdělávacího oboru Český jazyk a literatura a písemného testu ze vzdělávacího oboru Matematika a její aplikace. </w:t>
      </w:r>
      <w:r w:rsidR="00C826D8">
        <w:rPr>
          <w:rFonts w:ascii="Times New Roman" w:hAnsi="Times New Roman"/>
          <w:color w:val="000000"/>
          <w:shd w:val="clear" w:color="auto" w:fill="FFFFFF"/>
        </w:rPr>
        <w:br/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Maximální možný počet dosažených bodů v testech z matematiky i českého jazyka a literatury je </w:t>
      </w:r>
      <w:r w:rsidR="00C826D8" w:rsidRPr="00C826D8">
        <w:rPr>
          <w:rStyle w:val="Siln"/>
          <w:rFonts w:ascii="Times New Roman" w:hAnsi="Times New Roman" w:cs="Times New Roman"/>
          <w:color w:val="000000"/>
          <w:shd w:val="clear" w:color="auto" w:fill="FAFAFA"/>
        </w:rPr>
        <w:t>50 bodů</w:t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. Minimální hranice úspěšnosti není centrálně stanovena, školy si však mohou minimální hranici stanovit samy v rámci kritérií pro přijetí.</w:t>
      </w:r>
      <w:r w:rsidR="00C826D8">
        <w:rPr>
          <w:rFonts w:ascii="Times New Roman" w:hAnsi="Times New Roman"/>
          <w:color w:val="000000"/>
          <w:shd w:val="clear" w:color="auto" w:fill="FFFFFF"/>
        </w:rPr>
        <w:br/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Časový limit pro test z českého jazyka a literatury je</w:t>
      </w:r>
      <w:r w:rsidR="00C826D8" w:rsidRPr="00C826D8">
        <w:rPr>
          <w:rStyle w:val="Siln"/>
          <w:rFonts w:ascii="Times New Roman" w:hAnsi="Times New Roman" w:cs="Times New Roman"/>
          <w:color w:val="000000"/>
          <w:shd w:val="clear" w:color="auto" w:fill="FAFAFA"/>
        </w:rPr>
        <w:t> 60 minut</w:t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, na test z matematiky je vyhrazeno </w:t>
      </w:r>
      <w:r w:rsidR="00C826D8" w:rsidRPr="00C826D8">
        <w:rPr>
          <w:rStyle w:val="Siln"/>
          <w:rFonts w:ascii="Times New Roman" w:hAnsi="Times New Roman" w:cs="Times New Roman"/>
          <w:color w:val="000000"/>
          <w:shd w:val="clear" w:color="auto" w:fill="FAFAFA"/>
        </w:rPr>
        <w:t>70</w:t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 </w:t>
      </w:r>
      <w:r w:rsidR="00C826D8" w:rsidRPr="00C826D8">
        <w:rPr>
          <w:rStyle w:val="Siln"/>
          <w:rFonts w:ascii="Times New Roman" w:hAnsi="Times New Roman" w:cs="Times New Roman"/>
          <w:color w:val="000000"/>
          <w:shd w:val="clear" w:color="auto" w:fill="FAFAFA"/>
        </w:rPr>
        <w:t>minut</w:t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. </w:t>
      </w:r>
      <w:r w:rsidR="00C826D8" w:rsidRPr="00C826D8">
        <w:rPr>
          <w:rStyle w:val="Siln"/>
          <w:rFonts w:ascii="Times New Roman" w:hAnsi="Times New Roman" w:cs="Times New Roman"/>
          <w:color w:val="000000"/>
          <w:shd w:val="clear" w:color="auto" w:fill="FAFAFA"/>
        </w:rPr>
        <w:t>Povolenými pomůckami</w:t>
      </w:r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 xml:space="preserve"> při konání testů je pouze modře či černě píšící propisovací tužka (nelze používat </w:t>
      </w:r>
      <w:proofErr w:type="spellStart"/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>gumovací</w:t>
      </w:r>
      <w:proofErr w:type="spellEnd"/>
      <w:r w:rsidR="00C826D8" w:rsidRPr="00C826D8">
        <w:rPr>
          <w:rFonts w:ascii="Times New Roman" w:hAnsi="Times New Roman" w:cs="Times New Roman"/>
          <w:color w:val="111111"/>
          <w:shd w:val="clear" w:color="auto" w:fill="FAFAFA"/>
        </w:rPr>
        <w:t xml:space="preserve"> pera či fixky), u matematiky navíc obyčejná tužka a rýsovací potřeby. U zkoušky je zakázané používat slovníky, Pravidla českého pravopisu, kalkulačku či matematicko-fyzikální tabulky</w:t>
      </w:r>
      <w:r w:rsidR="00C826D8">
        <w:rPr>
          <w:rFonts w:ascii="Arial" w:hAnsi="Arial"/>
          <w:color w:val="111111"/>
          <w:sz w:val="21"/>
          <w:szCs w:val="21"/>
          <w:shd w:val="clear" w:color="auto" w:fill="FAFAFA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Další hodnocení splnění kritérií stanoví ředitel školy. Ředitel školy může v rámci kritérií pro přijetí stanovit hranici úspěšnosti v jednotné zkoušce nebo školní přijímací zkoušce, které musí uchazeč dosáhnout jako nezbytné podmínky pro přijetí. </w:t>
      </w:r>
    </w:p>
    <w:p w:rsidR="005D6A5B" w:rsidRDefault="00C92920" w:rsidP="000D03D1">
      <w:pPr>
        <w:pStyle w:val="Tlotextu"/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Kromě povinné jednotné přijímací zkoušky může škola organizovat ještě i </w:t>
      </w:r>
      <w:r>
        <w:rPr>
          <w:rFonts w:ascii="Times New Roman" w:hAnsi="Times New Roman"/>
          <w:b/>
          <w:color w:val="000000"/>
          <w:shd w:val="clear" w:color="auto" w:fill="FFFFFF"/>
        </w:rPr>
        <w:t>vlastní školní zkoušku</w:t>
      </w:r>
      <w:r>
        <w:rPr>
          <w:rFonts w:ascii="Times New Roman" w:hAnsi="Times New Roman"/>
          <w:color w:val="000000"/>
          <w:shd w:val="clear" w:color="auto" w:fill="FFFFFF"/>
        </w:rPr>
        <w:t>, např. z dalších předmětů. Ve stanoveném období pro první kolo projde uchazeč jak jednotnou, tak případně i školní přijímací zkouškou. Pozvánku k řízení obdrží žák nejpozději 14 dnů před jejím konáním.</w:t>
      </w:r>
    </w:p>
    <w:p w:rsidR="005D6A5B" w:rsidRDefault="00C92920" w:rsidP="000D03D1">
      <w:pPr>
        <w:pStyle w:val="Tlotextu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Rozhodnutí o přijetí a doručování rozhodnutí </w:t>
      </w:r>
      <w:r w:rsidR="005A744A">
        <w:rPr>
          <w:rFonts w:ascii="Times New Roman" w:hAnsi="Times New Roman"/>
          <w:b/>
          <w:bCs/>
          <w:color w:val="000000"/>
        </w:rPr>
        <w:br/>
      </w:r>
      <w:r w:rsidR="005A744A" w:rsidRPr="005A744A">
        <w:rPr>
          <w:rFonts w:ascii="Times New Roman" w:hAnsi="Times New Roman" w:cs="Times New Roman"/>
          <w:color w:val="111111"/>
          <w:shd w:val="clear" w:color="auto" w:fill="FAFAFA"/>
        </w:rPr>
        <w:t>Centrum zpřístupní řediteli školy hodnocení uchazečů v jednotné přijímací zkoušce nejpozději </w:t>
      </w:r>
      <w:r w:rsidR="005A744A">
        <w:rPr>
          <w:rFonts w:ascii="Times New Roman" w:hAnsi="Times New Roman" w:cs="Times New Roman"/>
          <w:color w:val="111111"/>
          <w:shd w:val="clear" w:color="auto" w:fill="FAFAFA"/>
        </w:rPr>
        <w:br/>
      </w:r>
      <w:r w:rsidR="005A744A" w:rsidRPr="005A744A">
        <w:rPr>
          <w:rStyle w:val="Siln"/>
          <w:rFonts w:ascii="Times New Roman" w:hAnsi="Times New Roman" w:cs="Times New Roman"/>
          <w:color w:val="000000"/>
          <w:shd w:val="clear" w:color="auto" w:fill="FAFAFA"/>
        </w:rPr>
        <w:t>28. dubna 2022</w:t>
      </w:r>
      <w:r w:rsidR="005A744A" w:rsidRPr="005A744A">
        <w:rPr>
          <w:rFonts w:ascii="Times New Roman" w:hAnsi="Times New Roman" w:cs="Times New Roman"/>
          <w:color w:val="111111"/>
          <w:shd w:val="clear" w:color="auto" w:fill="FAFAFA"/>
        </w:rPr>
        <w:t>. Ředitel školy ukončí hodnocení přijímacího řízení a zveřejní seznam přijatých uchazečů nejpozději do 2 pracovních dnů od zpřístupnění hodnocení uchazečů Centrem.</w:t>
      </w:r>
      <w:r w:rsidRPr="005A744A">
        <w:rPr>
          <w:rFonts w:ascii="Times New Roman" w:hAnsi="Times New Roman" w:cs="Times New Roman"/>
        </w:rPr>
        <w:br/>
      </w:r>
      <w:r>
        <w:rPr>
          <w:rFonts w:ascii="Times New Roman" w:hAnsi="Times New Roman"/>
          <w:color w:val="000000"/>
        </w:rPr>
        <w:t>Nepřijatým uchazečům nebo zákonným zástupcům nepřijatých nezletilých uchazečů ředitel doručí rozhodnutí o nepřijetí.</w:t>
      </w:r>
      <w:r w:rsidR="0010008C">
        <w:rPr>
          <w:rFonts w:ascii="Times New Roman" w:hAnsi="Times New Roman"/>
          <w:color w:val="000000"/>
        </w:rPr>
        <w:t xml:space="preserve"> </w:t>
      </w:r>
      <w:r w:rsidR="0010008C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Pokud se jednotná zkouška ani školní přijímací zkouška v prvním kole přijímacího řízení nekoná, zveřejní ředitel školy seznam přijatých uchazečů a nepřijatým uchazečům nebo zákonným zástupcům nepřijatých nezletilých uchazečů odešle rozhodnutí o nepřijetí v termínu od 22. dubna do 30. dubna.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Odvolání</w:t>
      </w:r>
      <w:r>
        <w:rPr>
          <w:rFonts w:ascii="Times New Roman" w:hAnsi="Times New Roman"/>
          <w:color w:val="000000"/>
        </w:rPr>
        <w:t xml:space="preserve"> uchazeče proti rozhodnutí ředitele školy o výsledku přijímacího řízení</w:t>
      </w:r>
      <w:r>
        <w:rPr>
          <w:rFonts w:ascii="Times New Roman" w:hAnsi="Times New Roman"/>
          <w:b/>
          <w:bCs/>
          <w:color w:val="000000"/>
        </w:rPr>
        <w:t xml:space="preserve"> lze podat ve lhůtě 3 pracovních dnů ode dne doručení rozhodnutí. </w:t>
      </w:r>
      <w:r>
        <w:rPr>
          <w:rFonts w:ascii="Times New Roman" w:hAnsi="Times New Roman"/>
        </w:rPr>
        <w:br/>
        <w:t xml:space="preserve">Podrobnější informace o přijímacím řízení budou poskytovány během třídních schůzek, popřípadě na stránkách školy a prostřednictvím e mailů zasílaných zákonným zástupcům žáků. </w:t>
      </w:r>
    </w:p>
    <w:p w:rsidR="005D6A5B" w:rsidRDefault="00C92920" w:rsidP="000D03D1">
      <w:pPr>
        <w:pStyle w:val="Tlotextu"/>
        <w:spacing w:line="276" w:lineRule="auto"/>
        <w:rPr>
          <w:rFonts w:hint="eastAsia"/>
        </w:rPr>
      </w:pPr>
      <w:r>
        <w:rPr>
          <w:b/>
          <w:bCs/>
        </w:rPr>
        <w:t>Zápisový lístek</w:t>
      </w:r>
      <w:r>
        <w:rPr>
          <w:b/>
          <w:bCs/>
        </w:rPr>
        <w:br/>
      </w:r>
      <w:r>
        <w:t xml:space="preserve">Svůj úmysl vzdělávat se ve střední škole, oboru vzdělání a formě vzdělávání musí uchazeč potvrdit doručením zápisového lístku řediteli školy, do které byl ke vzdělávání přijat, a to do </w:t>
      </w:r>
      <w:r>
        <w:rPr>
          <w:rStyle w:val="Silnzdraznn"/>
        </w:rPr>
        <w:t>10 pracovních dnů ode dne, kdy bylo uchazeči oznámeno (viz níže) rozhodnutí o přijetí ke vzdělávání</w:t>
      </w:r>
      <w:r>
        <w:t xml:space="preserve"> – lhůta je dodržena, pokud je zápisový lístek v poslední den lhůty předán na poštu. Pokud lhůta marně uplyne, zanikají účinky rozhodnutí a uchazeč se žákem školy nestává. </w:t>
      </w:r>
      <w:r>
        <w:br/>
      </w:r>
      <w:r>
        <w:rPr>
          <w:rStyle w:val="Silnzdraznn"/>
        </w:rPr>
        <w:t>Zápisový lístek může uchazeč uplatnit jen jednou</w:t>
      </w:r>
      <w:r>
        <w:t>. Výjimkou je případ, kdy chce uchazeč uplatnit zápisový lístek ve škole, kam byl přijat na základě odvolání.</w:t>
      </w:r>
    </w:p>
    <w:p w:rsidR="005D6A5B" w:rsidRDefault="00C92920" w:rsidP="000D03D1">
      <w:pPr>
        <w:pStyle w:val="Nadpis1"/>
        <w:spacing w:line="276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Další kola přijímacího řízení</w:t>
      </w:r>
    </w:p>
    <w:p w:rsidR="005D6A5B" w:rsidRDefault="00C92920" w:rsidP="000D03D1">
      <w:pPr>
        <w:pStyle w:val="Tlotextu"/>
        <w:spacing w:line="276" w:lineRule="auto"/>
        <w:rPr>
          <w:rFonts w:hint="eastAsia"/>
        </w:rPr>
      </w:pPr>
      <w:r>
        <w:t xml:space="preserve">Ředitel školy může po ukončení prvního kola přijímacího řízení vyhlásit další kolo přijímacího řízení k naplnění předpokládaného stavu žáků. Termíny stanoví ředitel školy. </w:t>
      </w:r>
      <w:r>
        <w:br/>
        <w:t>Tiskopis přihlášky platí i pro další kola přijímacího řízení. V tiskopise se vyplňuje jen jedna škola, na níž se přihláška podává.</w:t>
      </w:r>
      <w:r>
        <w:br/>
        <w:t>Není omezen počet přihlášek ani počet škol (týká se i přihlášek do víceletých gymnázií, oborů vzdělání s talentovou zkouškou a konzervatoří).</w:t>
      </w:r>
      <w:r w:rsidR="0030622E">
        <w:br/>
      </w:r>
      <w:r w:rsidR="000D03D1">
        <w:rPr>
          <w:rFonts w:ascii="Times New Roman" w:hAnsi="Times New Roman"/>
        </w:rPr>
        <w:t xml:space="preserve">Doporučujeme </w:t>
      </w:r>
      <w:r>
        <w:rPr>
          <w:rFonts w:ascii="Times New Roman" w:hAnsi="Times New Roman"/>
        </w:rPr>
        <w:t xml:space="preserve">využít </w:t>
      </w:r>
      <w:r>
        <w:rPr>
          <w:rFonts w:ascii="Times New Roman" w:hAnsi="Times New Roman"/>
          <w:b/>
        </w:rPr>
        <w:t xml:space="preserve">dní otevřených dveří </w:t>
      </w:r>
      <w:r>
        <w:rPr>
          <w:rFonts w:ascii="Times New Roman" w:hAnsi="Times New Roman"/>
        </w:rPr>
        <w:t xml:space="preserve">na příslušných školách, popřípadě </w:t>
      </w:r>
      <w:r>
        <w:rPr>
          <w:rFonts w:ascii="Times New Roman" w:hAnsi="Times New Roman"/>
          <w:b/>
        </w:rPr>
        <w:t>konzultací</w:t>
      </w:r>
      <w:r>
        <w:rPr>
          <w:rFonts w:ascii="Times New Roman" w:hAnsi="Times New Roman"/>
        </w:rPr>
        <w:t xml:space="preserve"> s třídní učitelkou Mgr. </w:t>
      </w:r>
      <w:r w:rsidR="00646277">
        <w:rPr>
          <w:rFonts w:ascii="Times New Roman" w:hAnsi="Times New Roman"/>
        </w:rPr>
        <w:t xml:space="preserve">Krejčovou </w:t>
      </w:r>
      <w:r>
        <w:rPr>
          <w:rFonts w:ascii="Times New Roman" w:hAnsi="Times New Roman"/>
        </w:rPr>
        <w:t xml:space="preserve">a výchovnou poradkyní Mgr. Hrabovskou. Lze též využít služeb </w:t>
      </w:r>
      <w:r>
        <w:rPr>
          <w:rFonts w:ascii="Times New Roman" w:hAnsi="Times New Roman"/>
          <w:b/>
        </w:rPr>
        <w:t>Informačního a poradenského střediska úřadu práce</w:t>
      </w:r>
      <w:r>
        <w:rPr>
          <w:rFonts w:ascii="Times New Roman" w:hAnsi="Times New Roman"/>
        </w:rPr>
        <w:t xml:space="preserve">, jehož všechny služby jsou zdarma. </w:t>
      </w:r>
      <w:r w:rsidR="0030622E">
        <w:rPr>
          <w:rFonts w:ascii="Times New Roman" w:hAnsi="Times New Roman"/>
        </w:rPr>
        <w:br/>
      </w:r>
      <w:r>
        <w:rPr>
          <w:rFonts w:ascii="Times New Roman" w:hAnsi="Times New Roman"/>
        </w:rPr>
        <w:t>Pro 9. ročníky je zajištěna na t</w:t>
      </w:r>
      <w:r w:rsidR="000D03D1">
        <w:rPr>
          <w:rFonts w:ascii="Times New Roman" w:hAnsi="Times New Roman"/>
        </w:rPr>
        <w:t>omto pracovišti beseda na téma „</w:t>
      </w:r>
      <w:r>
        <w:rPr>
          <w:rFonts w:ascii="Times New Roman" w:hAnsi="Times New Roman"/>
        </w:rPr>
        <w:t xml:space="preserve">Trh práce". </w:t>
      </w:r>
    </w:p>
    <w:p w:rsidR="005D6A5B" w:rsidRDefault="00C92920" w:rsidP="000D03D1">
      <w:pPr>
        <w:pStyle w:val="Tlotextu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>Webové stránky, na kterých můžete hledat informace o středních školách:</w:t>
      </w:r>
      <w:r w:rsidR="00EA695B">
        <w:br/>
      </w:r>
      <w:hyperlink r:id="rId5">
        <w:r>
          <w:rPr>
            <w:rStyle w:val="Internetovodkaz"/>
            <w:rFonts w:ascii="Times New Roman" w:hAnsi="Times New Roman"/>
          </w:rPr>
          <w:t>www.infoabsolvent.cz</w:t>
        </w:r>
      </w:hyperlink>
    </w:p>
    <w:p w:rsidR="005D6A5B" w:rsidRDefault="00D137E3" w:rsidP="000D03D1">
      <w:pPr>
        <w:pStyle w:val="Tlotextu"/>
        <w:spacing w:line="276" w:lineRule="auto"/>
        <w:rPr>
          <w:rFonts w:hint="eastAsia"/>
        </w:rPr>
      </w:pPr>
      <w:hyperlink r:id="rId6">
        <w:r w:rsidR="00C92920">
          <w:rPr>
            <w:rStyle w:val="Internetovodkaz"/>
            <w:rFonts w:ascii="Times New Roman" w:hAnsi="Times New Roman"/>
          </w:rPr>
          <w:t>www.burzaskol.cz</w:t>
        </w:r>
      </w:hyperlink>
    </w:p>
    <w:p w:rsidR="005D6A5B" w:rsidRDefault="00D137E3" w:rsidP="000D03D1">
      <w:pPr>
        <w:pStyle w:val="Tlotextu"/>
        <w:spacing w:line="276" w:lineRule="auto"/>
        <w:rPr>
          <w:rFonts w:hint="eastAsia"/>
        </w:rPr>
      </w:pPr>
      <w:hyperlink r:id="rId7">
        <w:r w:rsidR="00C92920">
          <w:rPr>
            <w:rStyle w:val="Internetovodkaz"/>
            <w:rFonts w:ascii="Times New Roman" w:hAnsi="Times New Roman"/>
          </w:rPr>
          <w:t>www.atlasskolstvi.cz</w:t>
        </w:r>
      </w:hyperlink>
    </w:p>
    <w:p w:rsidR="005D6A5B" w:rsidRDefault="00D137E3" w:rsidP="000D03D1">
      <w:pPr>
        <w:pStyle w:val="Tlotextu"/>
        <w:spacing w:line="276" w:lineRule="auto"/>
        <w:rPr>
          <w:rFonts w:hint="eastAsia"/>
        </w:rPr>
      </w:pPr>
      <w:hyperlink r:id="rId8">
        <w:r w:rsidR="00C92920">
          <w:rPr>
            <w:rStyle w:val="Internetovodkaz"/>
            <w:rFonts w:ascii="Times New Roman" w:hAnsi="Times New Roman"/>
          </w:rPr>
          <w:t>www.stredniskoly.cz</w:t>
        </w:r>
      </w:hyperlink>
    </w:p>
    <w:p w:rsidR="005D6A5B" w:rsidRDefault="00D137E3" w:rsidP="000D03D1">
      <w:pPr>
        <w:pStyle w:val="Tlotextu"/>
        <w:spacing w:line="276" w:lineRule="auto"/>
        <w:rPr>
          <w:rFonts w:hint="eastAsia"/>
        </w:rPr>
      </w:pPr>
      <w:hyperlink r:id="rId9" w:tgtFrame="_blank">
        <w:r w:rsidR="00C92920">
          <w:rPr>
            <w:rStyle w:val="Internetovodkaz"/>
          </w:rPr>
          <w:t>https://portal.mpsv.cz/upcr/kp/kvk/poradenstvi/vzdelavani</w:t>
        </w:r>
      </w:hyperlink>
      <w:r w:rsidR="00C92920">
        <w:t xml:space="preserve"> - brožura Informace o studiu na středních školách v Karlovarském kraji</w:t>
      </w:r>
      <w:r w:rsidR="0030622E">
        <w:br/>
      </w:r>
      <w:r w:rsidR="00C92920">
        <w:rPr>
          <w:rFonts w:ascii="Times New Roman" w:hAnsi="Times New Roman"/>
          <w:b/>
          <w:bCs/>
        </w:rPr>
        <w:t>Webové stránky, na kterých naleznete informace o přijímacím řízení:</w:t>
      </w:r>
      <w:r w:rsidR="0030622E">
        <w:rPr>
          <w:rFonts w:ascii="Times New Roman" w:hAnsi="Times New Roman"/>
          <w:b/>
          <w:bCs/>
        </w:rPr>
        <w:t xml:space="preserve"> </w:t>
      </w:r>
      <w:hyperlink r:id="rId10">
        <w:r w:rsidR="00C92920">
          <w:rPr>
            <w:rStyle w:val="Internetovodkaz"/>
            <w:rFonts w:ascii="Times New Roman" w:hAnsi="Times New Roman"/>
          </w:rPr>
          <w:t>www.msmt.cz</w:t>
        </w:r>
      </w:hyperlink>
    </w:p>
    <w:p w:rsidR="005D6A5B" w:rsidRDefault="005D6A5B" w:rsidP="000D03D1">
      <w:pPr>
        <w:spacing w:line="276" w:lineRule="auto"/>
        <w:rPr>
          <w:rFonts w:hint="eastAsia"/>
        </w:rPr>
        <w:sectPr w:rsidR="005D6A5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:rsidR="005D6A5B" w:rsidRDefault="00C92920" w:rsidP="000D03D1">
      <w:pPr>
        <w:pStyle w:val="Default"/>
        <w:spacing w:line="276" w:lineRule="auto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br w:type="page"/>
      </w:r>
    </w:p>
    <w:p w:rsidR="005D6A5B" w:rsidRDefault="00C92920">
      <w:pPr>
        <w:pStyle w:val="Default"/>
      </w:pPr>
      <w:r>
        <w:rPr>
          <w:i/>
          <w:sz w:val="23"/>
        </w:rPr>
        <w:lastRenderedPageBreak/>
        <w:t xml:space="preserve"> </w:t>
      </w:r>
    </w:p>
    <w:tbl>
      <w:tblPr>
        <w:tblW w:w="8838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2946"/>
        <w:gridCol w:w="2946"/>
      </w:tblGrid>
      <w:tr w:rsidR="005D6A5B">
        <w:trPr>
          <w:trHeight w:val="415"/>
        </w:trPr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b/>
                <w:i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b/>
                <w:i/>
                <w:sz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b/>
                <w:i/>
                <w:sz w:val="22"/>
              </w:rPr>
            </w:pPr>
          </w:p>
        </w:tc>
      </w:tr>
      <w:tr w:rsidR="005D6A5B">
        <w:trPr>
          <w:trHeight w:val="272"/>
        </w:trPr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</w:tr>
      <w:tr w:rsidR="005D6A5B">
        <w:trPr>
          <w:trHeight w:val="271"/>
        </w:trPr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</w:tr>
      <w:tr w:rsidR="005D6A5B">
        <w:trPr>
          <w:trHeight w:val="270"/>
        </w:trPr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  <w:tc>
          <w:tcPr>
            <w:tcW w:w="2946" w:type="dxa"/>
            <w:shd w:val="clear" w:color="auto" w:fill="auto"/>
          </w:tcPr>
          <w:p w:rsidR="005D6A5B" w:rsidRDefault="005D6A5B">
            <w:pPr>
              <w:pStyle w:val="Default"/>
              <w:rPr>
                <w:rFonts w:ascii="Segoe UI" w:hAnsi="Segoe UI"/>
                <w:b/>
                <w:sz w:val="23"/>
              </w:rPr>
            </w:pPr>
          </w:p>
        </w:tc>
      </w:tr>
    </w:tbl>
    <w:p w:rsidR="005D6A5B" w:rsidRDefault="005D6A5B">
      <w:pPr>
        <w:pStyle w:val="Default"/>
        <w:rPr>
          <w:rFonts w:ascii="Segoe UI" w:hAnsi="Segoe UI"/>
          <w:sz w:val="23"/>
        </w:rPr>
      </w:pPr>
    </w:p>
    <w:p w:rsidR="005D6A5B" w:rsidRDefault="005D6A5B">
      <w:pPr>
        <w:rPr>
          <w:rFonts w:hint="eastAsia"/>
        </w:rPr>
      </w:pPr>
    </w:p>
    <w:sectPr w:rsidR="005D6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5B"/>
    <w:rsid w:val="00080A77"/>
    <w:rsid w:val="000D03D1"/>
    <w:rsid w:val="0010008C"/>
    <w:rsid w:val="00127F38"/>
    <w:rsid w:val="0030622E"/>
    <w:rsid w:val="003B281A"/>
    <w:rsid w:val="003F5B13"/>
    <w:rsid w:val="0044611C"/>
    <w:rsid w:val="005A744A"/>
    <w:rsid w:val="005D6A5B"/>
    <w:rsid w:val="00646277"/>
    <w:rsid w:val="00C826D8"/>
    <w:rsid w:val="00C92920"/>
    <w:rsid w:val="00D137E3"/>
    <w:rsid w:val="00E64579"/>
    <w:rsid w:val="00E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DA35-8D8E-4388-AF8B-0F0016E2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adpis"/>
    <w:next w:val="Tlotextu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adpis"/>
    <w:next w:val="Tlotextu"/>
    <w:pPr>
      <w:spacing w:before="120"/>
      <w:outlineLvl w:val="3"/>
    </w:pPr>
    <w:rPr>
      <w:rFonts w:ascii="Liberation Serif" w:eastAsia="SimSun" w:hAnsi="Liberation Serif"/>
      <w:b/>
      <w:bCs/>
      <w:color w:val="8080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Symbolyproslovn">
    <w:name w:val="Symboly pro číslování"/>
  </w:style>
  <w:style w:type="character" w:customStyle="1" w:styleId="Zdraznn1">
    <w:name w:val="Zdůraznění1"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Calibri" w:hAnsi="Calibri"/>
      <w:color w:val="000000"/>
    </w:rPr>
  </w:style>
  <w:style w:type="paragraph" w:customStyle="1" w:styleId="Quotations">
    <w:name w:val="Quotations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0D03D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3D1"/>
    <w:rPr>
      <w:rFonts w:ascii="Tahoma" w:hAnsi="Tahoma" w:cs="Mangal"/>
      <w:sz w:val="16"/>
      <w:szCs w:val="14"/>
    </w:rPr>
  </w:style>
  <w:style w:type="character" w:styleId="Siln">
    <w:name w:val="Strong"/>
    <w:basedOn w:val="Standardnpsmoodstavce"/>
    <w:uiPriority w:val="22"/>
    <w:qFormat/>
    <w:rsid w:val="00C82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skol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skolstvi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zaskol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absolvent.cz/" TargetMode="External"/><Relationship Id="rId10" Type="http://schemas.openxmlformats.org/officeDocument/2006/relationships/hyperlink" Target="http://www.msmt.cz/vzdelavani/prijimani-na-stredni-skoly-a-konzerva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psv.cz/upcr/kp/kvk/poradenstvi/vzdel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26E4-ACD6-43ED-8F42-16BCEEAC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Vrbová Jana</cp:lastModifiedBy>
  <cp:revision>2</cp:revision>
  <cp:lastPrinted>2021-11-02T06:22:00Z</cp:lastPrinted>
  <dcterms:created xsi:type="dcterms:W3CDTF">2021-11-08T11:53:00Z</dcterms:created>
  <dcterms:modified xsi:type="dcterms:W3CDTF">2021-11-08T11:53:00Z</dcterms:modified>
  <dc:language>cs-CZ</dc:language>
</cp:coreProperties>
</file>